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C37" w:rsidRPr="00FE2CEC" w:rsidRDefault="003D4562" w:rsidP="00AE5C37">
      <w:pPr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noProof/>
          <w:sz w:val="24"/>
          <w:szCs w:val="24"/>
          <w:lang w:val="es-EC" w:eastAsia="es-EC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uadro de texto 1" o:spid="_x0000_s1026" type="#_x0000_t202" style="position:absolute;left:0;text-align:left;margin-left:-7.45pt;margin-top:3.75pt;width:531.75pt;height:31.6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" fillcolor="white [3201]" strokecolor="#92cddc [1944]" strokeweight="1pt">
            <v:fill color2="#b6dde8 [1304]" rotate="t" focus="100%" type="gradient"/>
            <v:shadow on="t" color="#205867 [1608]" opacity=".5" offset="1pt"/>
            <v:textbox>
              <w:txbxContent>
                <w:p w:rsidR="00B959B4" w:rsidRPr="00BF05E8" w:rsidRDefault="00B959B4" w:rsidP="00AE5C37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AE5C37" w:rsidRPr="00FE2CEC" w:rsidRDefault="00AE5C37" w:rsidP="00AE5C37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AE5C37" w:rsidRPr="00FE2CEC" w:rsidRDefault="00AE5C37" w:rsidP="00AE5C37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AE5C37" w:rsidRPr="00FE2CEC" w:rsidRDefault="00AE5C37" w:rsidP="00AE5C37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/>
      </w:tblPr>
      <w:tblGrid>
        <w:gridCol w:w="4219"/>
        <w:gridCol w:w="6379"/>
      </w:tblGrid>
      <w:tr w:rsidR="00AE5C37" w:rsidRPr="00FE2CEC" w:rsidTr="002D3035">
        <w:trPr>
          <w:cnfStyle w:val="100000000000"/>
          <w:trHeight w:val="575"/>
        </w:trPr>
        <w:tc>
          <w:tcPr>
            <w:cnfStyle w:val="001000000000"/>
            <w:tcW w:w="4219" w:type="dxa"/>
          </w:tcPr>
          <w:p w:rsidR="00AE5C37" w:rsidRPr="002D3035" w:rsidRDefault="00AE5C37" w:rsidP="00B959B4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2D303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Nombre del Indicador</w:t>
            </w:r>
          </w:p>
        </w:tc>
        <w:tc>
          <w:tcPr>
            <w:tcW w:w="6379" w:type="dxa"/>
          </w:tcPr>
          <w:p w:rsidR="00AE5C37" w:rsidRPr="002D3035" w:rsidRDefault="00BA7A59" w:rsidP="00B959B4">
            <w:pPr>
              <w:jc w:val="both"/>
              <w:cnfStyle w:val="100000000000"/>
              <w:rPr>
                <w:rFonts w:asciiTheme="minorHAnsi" w:hAnsiTheme="minorHAnsi"/>
                <w:b w:val="0"/>
                <w:szCs w:val="22"/>
                <w:lang w:val="es-CL"/>
              </w:rPr>
            </w:pPr>
            <w:r w:rsidRPr="002D3035">
              <w:rPr>
                <w:rFonts w:asciiTheme="minorHAnsi" w:hAnsiTheme="minorHAnsi"/>
                <w:b w:val="0"/>
                <w:szCs w:val="22"/>
                <w:lang w:val="es-CL"/>
              </w:rPr>
              <w:t>Tasa de odontólogos</w:t>
            </w:r>
          </w:p>
        </w:tc>
      </w:tr>
      <w:tr w:rsidR="00AE5C37" w:rsidRPr="00FE2CEC" w:rsidTr="002D3035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AE5C37" w:rsidRPr="002D3035" w:rsidRDefault="00AE5C37" w:rsidP="00B959B4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2D303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AE5C37" w:rsidRPr="002D3035" w:rsidRDefault="002D3035" w:rsidP="00B959B4">
            <w:pPr>
              <w:jc w:val="both"/>
              <w:cnfStyle w:val="000000100000"/>
              <w:rPr>
                <w:rFonts w:asciiTheme="minorHAnsi" w:hAnsiTheme="minorHAnsi"/>
                <w:szCs w:val="22"/>
                <w:lang w:val="es-CL"/>
              </w:rPr>
            </w:pPr>
            <w:r w:rsidRPr="003D0E95">
              <w:rPr>
                <w:rFonts w:asciiTheme="minorHAnsi" w:hAnsiTheme="minorHAnsi"/>
                <w:szCs w:val="22"/>
                <w:lang w:val="es-CL"/>
              </w:rPr>
              <w:t>Registro Administrativo</w:t>
            </w:r>
          </w:p>
        </w:tc>
      </w:tr>
      <w:tr w:rsidR="00AE5C37" w:rsidRPr="00FE2CEC" w:rsidTr="002D3035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AE5C37" w:rsidRPr="002D3035" w:rsidRDefault="00AE5C37" w:rsidP="00B959B4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2D303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AE5C37" w:rsidRPr="002D3035" w:rsidRDefault="00AE5C37" w:rsidP="00B959B4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2D3035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 xml:space="preserve">La </w:t>
            </w:r>
            <w:r w:rsidR="00BA7A59" w:rsidRPr="002D3035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tasa de odontólogos es el número de odontólogos</w:t>
            </w:r>
            <w:r w:rsidRPr="002D3035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 xml:space="preserve"> existentes por cada diez mil habitantes del ecuador.</w:t>
            </w:r>
          </w:p>
        </w:tc>
      </w:tr>
      <w:tr w:rsidR="00AE5C37" w:rsidRPr="00FE2CEC" w:rsidTr="002D3035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AE5C37" w:rsidRPr="002D3035" w:rsidRDefault="00AE5C37" w:rsidP="00B959B4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2D303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AE5C37" w:rsidRPr="002D3035" w:rsidRDefault="00AE5C37" w:rsidP="00B959B4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2D3035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Tasa por cada 10</w:t>
            </w:r>
            <w:r w:rsidR="00F20373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.</w:t>
            </w:r>
            <w:r w:rsidRPr="002D3035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000 habitantes</w:t>
            </w:r>
          </w:p>
        </w:tc>
      </w:tr>
      <w:tr w:rsidR="00AE5C37" w:rsidRPr="00FE2CEC" w:rsidTr="002D3035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AE5C37" w:rsidRPr="002D3035" w:rsidRDefault="00AE5C37" w:rsidP="00B959B4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2D303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AE5C37" w:rsidRDefault="002D3035" w:rsidP="00851B63">
            <w:pPr>
              <w:jc w:val="both"/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s-CL"/>
                  </w:rPr>
                  <m:t>Tasa de odontólogos 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22"/>
                        <w:lang w:val="es-CL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2"/>
                        <w:lang w:val="es-CL"/>
                      </w:rPr>
                      <m:t>#De odontólogos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sz w:val="20"/>
                            <w:vertAlign w:val="superscript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vertAlign w:val="superscript"/>
                          </w:rPr>
                          <m:t>P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vertAlign w:val="superscript"/>
                          </w:rPr>
                          <m:t>30-Jun-t</m:t>
                        </m:r>
                      </m:sup>
                    </m:sSup>
                  </m:den>
                </m:f>
                <m:r>
                  <w:rPr>
                    <w:rFonts w:ascii="Cambria Math" w:hAnsi="Cambria Math"/>
                    <w:szCs w:val="22"/>
                    <w:lang w:val="es-CL"/>
                  </w:rPr>
                  <m:t>*10.000</m:t>
                </m:r>
              </m:oMath>
            </m:oMathPara>
          </w:p>
          <w:p w:rsidR="00851B63" w:rsidRDefault="00851B63" w:rsidP="00851B63">
            <w:pPr>
              <w:jc w:val="both"/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</w:p>
          <w:p w:rsidR="00851B63" w:rsidRDefault="00851B63" w:rsidP="00851B63">
            <w:pPr>
              <w:jc w:val="both"/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  <w:r>
              <w:rPr>
                <w:rFonts w:asciiTheme="minorHAnsi" w:hAnsiTheme="minorHAnsi"/>
                <w:szCs w:val="22"/>
                <w:lang w:val="es-CL"/>
              </w:rPr>
              <w:t>#De odontólogos: Total de odontólogos en el país</w:t>
            </w:r>
          </w:p>
          <w:p w:rsidR="00851B63" w:rsidRDefault="00851B63" w:rsidP="00851B63">
            <w:pPr>
              <w:jc w:val="both"/>
              <w:cnfStyle w:val="000000010000"/>
              <w:rPr>
                <w:rFonts w:ascii="Calibri" w:hAnsi="Calibri"/>
                <w:sz w:val="20"/>
              </w:rPr>
            </w:pPr>
            <w:r w:rsidRPr="009E352E">
              <w:rPr>
                <w:rFonts w:ascii="Calibri" w:hAnsi="Calibri"/>
                <w:szCs w:val="22"/>
              </w:rPr>
              <w:t>P</w:t>
            </w:r>
            <w:r w:rsidRPr="003E71BA">
              <w:rPr>
                <w:rFonts w:ascii="Calibri" w:hAnsi="Calibri"/>
                <w:sz w:val="20"/>
                <w:vertAlign w:val="superscript"/>
              </w:rPr>
              <w:t>30-Jun-</w:t>
            </w:r>
            <w:r>
              <w:rPr>
                <w:rFonts w:ascii="Calibri" w:hAnsi="Calibri"/>
                <w:sz w:val="20"/>
                <w:vertAlign w:val="superscript"/>
              </w:rPr>
              <w:t>t</w:t>
            </w:r>
            <w:r w:rsidR="00902DA2">
              <w:rPr>
                <w:rFonts w:ascii="Calibri" w:hAnsi="Calibri"/>
                <w:sz w:val="20"/>
              </w:rPr>
              <w:t xml:space="preserve"> :  </w:t>
            </w:r>
            <w:r w:rsidRPr="009E352E">
              <w:rPr>
                <w:rFonts w:asciiTheme="minorHAnsi" w:hAnsiTheme="minorHAnsi"/>
                <w:szCs w:val="22"/>
                <w:lang w:val="es-CL"/>
              </w:rPr>
              <w:t>Población total a mitad del año t</w:t>
            </w:r>
          </w:p>
          <w:p w:rsidR="00851B63" w:rsidRPr="00851B63" w:rsidRDefault="00851B63" w:rsidP="00851B63">
            <w:pPr>
              <w:jc w:val="both"/>
              <w:cnfStyle w:val="000000010000"/>
              <w:rPr>
                <w:rFonts w:asciiTheme="minorHAnsi" w:hAnsiTheme="minorHAnsi"/>
                <w:szCs w:val="22"/>
              </w:rPr>
            </w:pPr>
          </w:p>
        </w:tc>
      </w:tr>
      <w:tr w:rsidR="00AE5C37" w:rsidRPr="00FE2CEC" w:rsidTr="002D3035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AE5C37" w:rsidRPr="00FE2CEC" w:rsidRDefault="00AE5C37" w:rsidP="00B959B4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AE5C37" w:rsidRPr="00FE2CEC" w:rsidRDefault="00AE5C37" w:rsidP="00B959B4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AE5C37" w:rsidRPr="002D3035" w:rsidRDefault="00CB6A98" w:rsidP="00B959B4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2D3035">
              <w:rPr>
                <w:rFonts w:asciiTheme="minorHAnsi" w:hAnsiTheme="minorHAnsi"/>
                <w:b/>
                <w:color w:val="000000" w:themeColor="text1"/>
                <w:szCs w:val="22"/>
                <w:lang w:val="es-CL"/>
              </w:rPr>
              <w:t># De odontólogos</w:t>
            </w:r>
            <w:r w:rsidR="00AE5C37" w:rsidRPr="002D3035">
              <w:rPr>
                <w:rFonts w:asciiTheme="minorHAnsi" w:hAnsiTheme="minorHAnsi"/>
                <w:b/>
                <w:color w:val="000000" w:themeColor="text1"/>
                <w:szCs w:val="22"/>
                <w:lang w:val="es-CL"/>
              </w:rPr>
              <w:t xml:space="preserve">: </w:t>
            </w:r>
            <w:r w:rsidR="00BA7A59" w:rsidRPr="002D3035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Es el número de odontólogos</w:t>
            </w:r>
            <w:r w:rsidR="00AE5C37" w:rsidRPr="002D3035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 xml:space="preserve"> dependientes o independientes, públicos o privados, nacionales o extranjeros que brindan sus servicios en el territorio nacional en un periodo de tiempo determinado.</w:t>
            </w:r>
          </w:p>
          <w:p w:rsidR="00AE5C37" w:rsidRPr="002D3035" w:rsidRDefault="00AE5C37" w:rsidP="00B959B4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</w:p>
          <w:p w:rsidR="00AE5C37" w:rsidRPr="002D3035" w:rsidRDefault="00AE5C37" w:rsidP="00B959B4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2D3035">
              <w:rPr>
                <w:rFonts w:asciiTheme="minorHAnsi" w:hAnsiTheme="minorHAnsi"/>
                <w:b/>
                <w:color w:val="000000" w:themeColor="text1"/>
                <w:szCs w:val="22"/>
                <w:lang w:val="es-CL"/>
              </w:rPr>
              <w:t xml:space="preserve">Población: </w:t>
            </w:r>
            <w:r w:rsidR="005C4641" w:rsidRPr="002D3035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Es la población nacional estimada para un periodo determinado.</w:t>
            </w:r>
          </w:p>
        </w:tc>
      </w:tr>
      <w:tr w:rsidR="00AE5C37" w:rsidRPr="00FE2CEC" w:rsidTr="002D3035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AE5C37" w:rsidRPr="002D3035" w:rsidRDefault="00AE5C37" w:rsidP="00B959B4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2D3035">
              <w:rPr>
                <w:rFonts w:ascii="Calibri" w:hAnsi="Calibr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AE5C37" w:rsidRPr="002D3035" w:rsidRDefault="002D3035" w:rsidP="002D3035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>
              <w:rPr>
                <w:rFonts w:ascii="Calibri" w:hAnsi="Calibri"/>
                <w:szCs w:val="22"/>
                <w:lang w:val="es-CL"/>
              </w:rPr>
              <w:t>En el</w:t>
            </w:r>
            <w:r w:rsidR="00B0782E">
              <w:rPr>
                <w:rFonts w:ascii="Calibri" w:hAnsi="Calibri"/>
                <w:szCs w:val="22"/>
                <w:lang w:val="es-CL"/>
              </w:rPr>
              <w:t xml:space="preserve"> Ecuador, en el 2009</w:t>
            </w:r>
            <w:r w:rsidR="00F20373">
              <w:rPr>
                <w:rFonts w:ascii="Calibri" w:hAnsi="Calibri"/>
                <w:szCs w:val="22"/>
                <w:lang w:val="es-CL"/>
              </w:rPr>
              <w:t>, existen 2,</w:t>
            </w:r>
            <w:r w:rsidR="00B0782E">
              <w:rPr>
                <w:rFonts w:ascii="Calibri" w:hAnsi="Calibri"/>
                <w:szCs w:val="22"/>
                <w:lang w:val="es-CL"/>
              </w:rPr>
              <w:t>4</w:t>
            </w:r>
            <w:r>
              <w:rPr>
                <w:rFonts w:ascii="Calibri" w:hAnsi="Calibri"/>
                <w:szCs w:val="22"/>
                <w:lang w:val="es-CL"/>
              </w:rPr>
              <w:t xml:space="preserve"> Odontólogos, p</w:t>
            </w:r>
            <w:r w:rsidRPr="003D0E95">
              <w:rPr>
                <w:rFonts w:ascii="Calibri" w:hAnsi="Calibri"/>
                <w:szCs w:val="22"/>
                <w:lang w:val="es-CL"/>
              </w:rPr>
              <w:t>or cada 10</w:t>
            </w:r>
            <w:r>
              <w:rPr>
                <w:rFonts w:ascii="Calibri" w:hAnsi="Calibri"/>
                <w:szCs w:val="22"/>
                <w:lang w:val="es-CL"/>
              </w:rPr>
              <w:t>.</w:t>
            </w:r>
            <w:r w:rsidRPr="003D0E95">
              <w:rPr>
                <w:rFonts w:ascii="Calibri" w:hAnsi="Calibri"/>
                <w:szCs w:val="22"/>
                <w:lang w:val="es-CL"/>
              </w:rPr>
              <w:t>000 habitantes</w:t>
            </w:r>
          </w:p>
        </w:tc>
      </w:tr>
      <w:tr w:rsidR="002D3035" w:rsidRPr="00FE2CEC" w:rsidTr="002D3035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2D3035" w:rsidRPr="002D3035" w:rsidRDefault="002D3035" w:rsidP="00B959B4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2D303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2D3035" w:rsidRPr="003D0E95" w:rsidRDefault="002D3035" w:rsidP="00C534A9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Cs w:val="22"/>
              </w:rPr>
            </w:pPr>
            <w:r w:rsidRPr="003D0E95">
              <w:rPr>
                <w:rFonts w:asciiTheme="minorHAnsi" w:hAnsiTheme="minorHAnsi" w:cs="Helvetica"/>
                <w:color w:val="000000"/>
                <w:szCs w:val="22"/>
              </w:rPr>
              <w:t>Instituto Nacional de Estadística y Censos- INEC</w:t>
            </w:r>
          </w:p>
          <w:p w:rsidR="002D3035" w:rsidRPr="003D0E95" w:rsidRDefault="002D3035" w:rsidP="00C534A9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Cs w:val="22"/>
              </w:rPr>
            </w:pPr>
            <w:r w:rsidRPr="003D0E95">
              <w:rPr>
                <w:rFonts w:asciiTheme="minorHAnsi" w:hAnsiTheme="minorHAnsi" w:cs="Helvetica"/>
                <w:color w:val="000000"/>
                <w:szCs w:val="22"/>
              </w:rPr>
              <w:t>Dirección de Estadísticas Sociodemográficas- DIES</w:t>
            </w:r>
          </w:p>
        </w:tc>
      </w:tr>
      <w:tr w:rsidR="002D3035" w:rsidRPr="00FE2CEC" w:rsidTr="002D3035">
        <w:trPr>
          <w:cnfStyle w:val="000000010000"/>
          <w:trHeight w:val="582"/>
        </w:trPr>
        <w:tc>
          <w:tcPr>
            <w:cnfStyle w:val="001000000000"/>
            <w:tcW w:w="4219" w:type="dxa"/>
          </w:tcPr>
          <w:p w:rsidR="002D3035" w:rsidRPr="00FE2CEC" w:rsidRDefault="002D3035" w:rsidP="00B959B4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2D3035" w:rsidRPr="003D0E95" w:rsidRDefault="00F17B75" w:rsidP="00C534A9">
            <w:pPr>
              <w:autoSpaceDE w:val="0"/>
              <w:autoSpaceDN w:val="0"/>
              <w:adjustRightInd w:val="0"/>
              <w:cnfStyle w:val="000000010000"/>
              <w:rPr>
                <w:rFonts w:asciiTheme="minorHAnsi" w:hAnsiTheme="minorHAnsi" w:cs="Helvetica"/>
                <w:color w:val="000000"/>
                <w:szCs w:val="22"/>
              </w:rPr>
            </w:pPr>
            <w:r>
              <w:rPr>
                <w:rFonts w:ascii="Calibri" w:hAnsi="Calibri"/>
                <w:szCs w:val="22"/>
                <w:lang w:val="es-CL"/>
              </w:rPr>
              <w:t>Establecimientos de Salud con y sin internación hospitalaria del País -  Estadísticas Recursos y Actividades de Salud (INEC).</w:t>
            </w:r>
          </w:p>
        </w:tc>
      </w:tr>
      <w:tr w:rsidR="002D3035" w:rsidRPr="00FE2CEC" w:rsidTr="002D3035">
        <w:trPr>
          <w:cnfStyle w:val="000000100000"/>
          <w:trHeight w:val="406"/>
        </w:trPr>
        <w:tc>
          <w:tcPr>
            <w:cnfStyle w:val="001000000000"/>
            <w:tcW w:w="4219" w:type="dxa"/>
          </w:tcPr>
          <w:p w:rsidR="002D3035" w:rsidRPr="00FE2CEC" w:rsidRDefault="002D3035" w:rsidP="00B959B4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2D3035" w:rsidRPr="002D3035" w:rsidRDefault="002D3035" w:rsidP="00B959B4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2D3035">
              <w:rPr>
                <w:rFonts w:ascii="Calibri" w:hAnsi="Calibri"/>
                <w:szCs w:val="22"/>
              </w:rPr>
              <w:t>Un año</w:t>
            </w:r>
          </w:p>
        </w:tc>
      </w:tr>
      <w:tr w:rsidR="002D3035" w:rsidRPr="00FE2CEC" w:rsidTr="002D3035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2D3035" w:rsidRPr="00FE2CEC" w:rsidRDefault="002D3035" w:rsidP="00B959B4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2D3035" w:rsidRPr="003D0E95" w:rsidRDefault="002D3035" w:rsidP="00C534A9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Provincia, cantón y parroquia rural</w:t>
            </w:r>
          </w:p>
        </w:tc>
      </w:tr>
      <w:tr w:rsidR="002D3035" w:rsidRPr="00FE2CEC" w:rsidTr="002D3035">
        <w:trPr>
          <w:cnfStyle w:val="000000100000"/>
          <w:trHeight w:val="804"/>
        </w:trPr>
        <w:tc>
          <w:tcPr>
            <w:cnfStyle w:val="001000000000"/>
            <w:tcW w:w="4219" w:type="dxa"/>
          </w:tcPr>
          <w:p w:rsidR="002D3035" w:rsidRPr="00FE2CEC" w:rsidRDefault="002D3035" w:rsidP="00B959B4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2D3035" w:rsidRPr="002D3035" w:rsidRDefault="002D3035" w:rsidP="00B959B4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2D3035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 xml:space="preserve">Desde el año </w:t>
            </w:r>
            <w:r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2000 hasta el 20</w:t>
            </w:r>
            <w:r w:rsidR="00B0782E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09</w:t>
            </w:r>
          </w:p>
        </w:tc>
      </w:tr>
      <w:tr w:rsidR="002D3035" w:rsidRPr="00FE2CEC" w:rsidTr="002D3035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2D3035" w:rsidRPr="00FE2CEC" w:rsidRDefault="002D3035" w:rsidP="00B959B4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sz w:val="24"/>
                <w:szCs w:val="24"/>
              </w:rPr>
              <w:t>Limitaciones</w:t>
            </w:r>
          </w:p>
        </w:tc>
        <w:tc>
          <w:tcPr>
            <w:tcW w:w="6379" w:type="dxa"/>
          </w:tcPr>
          <w:p w:rsidR="002D3035" w:rsidRPr="003D0E95" w:rsidRDefault="002D3035" w:rsidP="002D3035">
            <w:pPr>
              <w:jc w:val="both"/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  <w:r>
              <w:rPr>
                <w:rFonts w:asciiTheme="minorHAnsi" w:hAnsiTheme="minorHAnsi"/>
                <w:szCs w:val="22"/>
                <w:lang w:val="es-CL"/>
              </w:rPr>
              <w:t xml:space="preserve">El registro incluye solamente a los odontólogos que laboran en establecimientos de salud con internación y sin internación hospitalaria. </w:t>
            </w:r>
          </w:p>
        </w:tc>
      </w:tr>
      <w:tr w:rsidR="002D3035" w:rsidRPr="00FE2CEC" w:rsidTr="002D3035">
        <w:trPr>
          <w:cnfStyle w:val="000000100000"/>
          <w:trHeight w:val="419"/>
        </w:trPr>
        <w:tc>
          <w:tcPr>
            <w:cnfStyle w:val="001000000000"/>
            <w:tcW w:w="4219" w:type="dxa"/>
          </w:tcPr>
          <w:p w:rsidR="002D3035" w:rsidRPr="00FE2CEC" w:rsidRDefault="002D3035" w:rsidP="00B959B4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Periodicidad de producción del indicador</w:t>
            </w:r>
          </w:p>
        </w:tc>
        <w:tc>
          <w:tcPr>
            <w:tcW w:w="6379" w:type="dxa"/>
          </w:tcPr>
          <w:p w:rsidR="002D3035" w:rsidRPr="002D3035" w:rsidRDefault="002D3035" w:rsidP="00B959B4">
            <w:pPr>
              <w:jc w:val="both"/>
              <w:cnfStyle w:val="000000100000"/>
              <w:rPr>
                <w:rFonts w:asciiTheme="minorHAnsi" w:hAnsiTheme="minorHAnsi"/>
                <w:szCs w:val="22"/>
              </w:rPr>
            </w:pPr>
            <w:r w:rsidRPr="002D3035">
              <w:rPr>
                <w:rFonts w:ascii="Calibri" w:hAnsi="Calibri"/>
                <w:szCs w:val="22"/>
                <w:lang w:val="es-CL"/>
              </w:rPr>
              <w:t>Anual</w:t>
            </w:r>
          </w:p>
        </w:tc>
      </w:tr>
      <w:tr w:rsidR="002D3035" w:rsidRPr="00FE2CEC" w:rsidTr="002D3035">
        <w:trPr>
          <w:cnfStyle w:val="000000010000"/>
          <w:trHeight w:val="383"/>
        </w:trPr>
        <w:tc>
          <w:tcPr>
            <w:cnfStyle w:val="001000000000"/>
            <w:tcW w:w="4219" w:type="dxa"/>
          </w:tcPr>
          <w:p w:rsidR="002D3035" w:rsidRPr="00FE2CEC" w:rsidRDefault="002D3035" w:rsidP="00B959B4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2D3035" w:rsidRPr="002D3035" w:rsidRDefault="002D3035" w:rsidP="000A0466">
            <w:pPr>
              <w:jc w:val="both"/>
              <w:cnfStyle w:val="000000010000"/>
              <w:rPr>
                <w:rFonts w:asciiTheme="minorHAnsi" w:hAnsiTheme="minorHAnsi"/>
                <w:szCs w:val="22"/>
              </w:rPr>
            </w:pPr>
            <w:r w:rsidRPr="002D3035">
              <w:rPr>
                <w:rFonts w:ascii="Calibri" w:hAnsi="Calibri"/>
                <w:szCs w:val="22"/>
                <w:lang w:val="es-CL"/>
              </w:rPr>
              <w:t xml:space="preserve">Se utiliza para fines de planificación gubernamental, para formular los objetivos que se desea alcanzar en salud, en el sector privado en </w:t>
            </w:r>
            <w:r w:rsidRPr="002D3035">
              <w:rPr>
                <w:rFonts w:ascii="Calibri" w:hAnsi="Calibri"/>
                <w:szCs w:val="22"/>
                <w:lang w:val="es-CL"/>
              </w:rPr>
              <w:lastRenderedPageBreak/>
              <w:t>la evaluación para proyectos de inversión en salud.</w:t>
            </w:r>
          </w:p>
        </w:tc>
      </w:tr>
      <w:tr w:rsidR="002D3035" w:rsidRPr="00FE2CEC" w:rsidTr="002D3035">
        <w:trPr>
          <w:cnfStyle w:val="000000100000"/>
          <w:trHeight w:val="790"/>
        </w:trPr>
        <w:tc>
          <w:tcPr>
            <w:cnfStyle w:val="001000000000"/>
            <w:tcW w:w="4219" w:type="dxa"/>
          </w:tcPr>
          <w:p w:rsidR="002D3035" w:rsidRPr="00FE2CEC" w:rsidRDefault="002D3035" w:rsidP="00B959B4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FE2CEC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lastRenderedPageBreak/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2D3035" w:rsidRPr="002D3035" w:rsidRDefault="002D3035" w:rsidP="002704E3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Cs w:val="22"/>
              </w:rPr>
            </w:pPr>
            <w:r w:rsidRPr="002D3035">
              <w:rPr>
                <w:rFonts w:asciiTheme="minorHAnsi" w:hAnsiTheme="minorHAnsi" w:cs="Helvetica"/>
                <w:color w:val="000000"/>
                <w:szCs w:val="22"/>
              </w:rPr>
              <w:t>N/A</w:t>
            </w:r>
          </w:p>
        </w:tc>
      </w:tr>
      <w:tr w:rsidR="002D3035" w:rsidRPr="00FE2CEC" w:rsidTr="002D3035">
        <w:trPr>
          <w:cnfStyle w:val="000000010000"/>
          <w:trHeight w:val="790"/>
        </w:trPr>
        <w:tc>
          <w:tcPr>
            <w:cnfStyle w:val="001000000000"/>
            <w:tcW w:w="4219" w:type="dxa"/>
          </w:tcPr>
          <w:p w:rsidR="002D3035" w:rsidRPr="00FE2CEC" w:rsidRDefault="002D3035" w:rsidP="00B959B4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FE2CEC">
              <w:rPr>
                <w:rFonts w:asciiTheme="minorHAnsi" w:hAnsiTheme="minorHAnsi" w:cs="Arial"/>
                <w:sz w:val="24"/>
                <w:szCs w:val="24"/>
                <w:lang w:eastAsia="es-ES"/>
              </w:rPr>
              <w:t xml:space="preserve">Información </w:t>
            </w:r>
            <w:proofErr w:type="spellStart"/>
            <w:r w:rsidRPr="00FE2CEC">
              <w:rPr>
                <w:rFonts w:asciiTheme="minorHAnsi" w:hAnsiTheme="minorHAnsi" w:cs="Arial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2D3035" w:rsidRPr="002D3035" w:rsidRDefault="002D3035" w:rsidP="00B959B4">
            <w:pPr>
              <w:autoSpaceDE w:val="0"/>
              <w:autoSpaceDN w:val="0"/>
              <w:adjustRightInd w:val="0"/>
              <w:jc w:val="both"/>
              <w:cnfStyle w:val="000000010000"/>
              <w:rPr>
                <w:rFonts w:asciiTheme="minorHAnsi" w:hAnsiTheme="minorHAnsi" w:cs="Arial"/>
                <w:szCs w:val="22"/>
                <w:lang w:eastAsia="es-ES"/>
              </w:rPr>
            </w:pPr>
            <w:r w:rsidRPr="002D3035">
              <w:rPr>
                <w:rFonts w:asciiTheme="minorHAnsi" w:hAnsiTheme="minorHAnsi" w:cs="Arial"/>
                <w:szCs w:val="22"/>
                <w:lang w:eastAsia="es-ES"/>
              </w:rPr>
              <w:t>No</w:t>
            </w:r>
          </w:p>
        </w:tc>
      </w:tr>
      <w:tr w:rsidR="002D3035" w:rsidRPr="00FE2CEC" w:rsidTr="002D3035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2D3035" w:rsidRPr="00FE2CEC" w:rsidRDefault="002D3035" w:rsidP="00B959B4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bookmarkStart w:id="0" w:name="_GoBack" w:colFirst="1" w:colLast="1"/>
            <w:r w:rsidRPr="00FE2CEC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2D3035" w:rsidRPr="00FE2CEC" w:rsidRDefault="002D3035" w:rsidP="00B959B4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2D3035" w:rsidRPr="002D3035" w:rsidRDefault="002D3035" w:rsidP="00B959B4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20 de Junio de 2012</w:t>
            </w:r>
          </w:p>
        </w:tc>
      </w:tr>
      <w:bookmarkEnd w:id="0"/>
    </w:tbl>
    <w:p w:rsidR="002F281F" w:rsidRDefault="002F281F" w:rsidP="00EE7114"/>
    <w:sectPr w:rsidR="002F281F" w:rsidSect="002D3035"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E5C37"/>
    <w:rsid w:val="00012353"/>
    <w:rsid w:val="00042759"/>
    <w:rsid w:val="00091ADE"/>
    <w:rsid w:val="000A0466"/>
    <w:rsid w:val="001A6976"/>
    <w:rsid w:val="001C19CE"/>
    <w:rsid w:val="001C4CB5"/>
    <w:rsid w:val="002106CF"/>
    <w:rsid w:val="0025684F"/>
    <w:rsid w:val="002D3035"/>
    <w:rsid w:val="002F281F"/>
    <w:rsid w:val="003D4562"/>
    <w:rsid w:val="00422B36"/>
    <w:rsid w:val="00441F14"/>
    <w:rsid w:val="005432B6"/>
    <w:rsid w:val="005C4641"/>
    <w:rsid w:val="00645729"/>
    <w:rsid w:val="00747F44"/>
    <w:rsid w:val="007E6521"/>
    <w:rsid w:val="00851B63"/>
    <w:rsid w:val="008F0C65"/>
    <w:rsid w:val="00901C67"/>
    <w:rsid w:val="00902DA2"/>
    <w:rsid w:val="009132E2"/>
    <w:rsid w:val="009306B9"/>
    <w:rsid w:val="00934DAC"/>
    <w:rsid w:val="00941972"/>
    <w:rsid w:val="00991316"/>
    <w:rsid w:val="009B4D2C"/>
    <w:rsid w:val="00A35139"/>
    <w:rsid w:val="00A66655"/>
    <w:rsid w:val="00A855F7"/>
    <w:rsid w:val="00AE5C37"/>
    <w:rsid w:val="00B0782E"/>
    <w:rsid w:val="00B959B4"/>
    <w:rsid w:val="00BA7A59"/>
    <w:rsid w:val="00BC4A01"/>
    <w:rsid w:val="00C26D95"/>
    <w:rsid w:val="00CB6A98"/>
    <w:rsid w:val="00D02E24"/>
    <w:rsid w:val="00D30B17"/>
    <w:rsid w:val="00D439D4"/>
    <w:rsid w:val="00EE2A69"/>
    <w:rsid w:val="00EE7114"/>
    <w:rsid w:val="00F17B75"/>
    <w:rsid w:val="00F20373"/>
    <w:rsid w:val="00F3780F"/>
    <w:rsid w:val="00F97E64"/>
    <w:rsid w:val="00FD7C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C37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AE5C37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AE5C37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AE5C37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styleId="Hipervnculo">
    <w:name w:val="Hyperlink"/>
    <w:basedOn w:val="Fuentedeprrafopredeter"/>
    <w:uiPriority w:val="99"/>
    <w:semiHidden/>
    <w:unhideWhenUsed/>
    <w:rsid w:val="00AE5C37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E5C37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E5C3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E5C37"/>
    <w:rPr>
      <w:rFonts w:ascii="Tahoma" w:eastAsia="Times New Roman" w:hAnsi="Tahoma" w:cs="Tahoma"/>
      <w:sz w:val="16"/>
      <w:szCs w:val="16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C37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AE5C37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AE5C37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AE5C37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styleId="Hipervnculo">
    <w:name w:val="Hyperlink"/>
    <w:basedOn w:val="Fuentedeprrafopredeter"/>
    <w:uiPriority w:val="99"/>
    <w:semiHidden/>
    <w:unhideWhenUsed/>
    <w:rsid w:val="00AE5C37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E5C37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E5C3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E5C37"/>
    <w:rPr>
      <w:rFonts w:ascii="Tahoma" w:eastAsia="Times New Roman" w:hAnsi="Tahoma" w:cs="Tahoma"/>
      <w:sz w:val="16"/>
      <w:szCs w:val="16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1A09B8-7837-42C7-B75E-EFF85CFFD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301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icesa</dc:creator>
  <cp:lastModifiedBy>jvinueza</cp:lastModifiedBy>
  <cp:revision>10</cp:revision>
  <dcterms:created xsi:type="dcterms:W3CDTF">2012-06-12T18:22:00Z</dcterms:created>
  <dcterms:modified xsi:type="dcterms:W3CDTF">2012-06-27T22:09:00Z</dcterms:modified>
</cp:coreProperties>
</file>